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AA" w:rsidRDefault="009C5EAA" w:rsidP="000465EF">
      <w:pPr>
        <w:jc w:val="center"/>
        <w:rPr>
          <w:b/>
          <w:bCs/>
          <w:caps/>
          <w:color w:val="000000"/>
        </w:rPr>
      </w:pPr>
      <w:r w:rsidRPr="009C5EA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0777DB0" wp14:editId="531D9570">
            <wp:simplePos x="3848100" y="1097280"/>
            <wp:positionH relativeFrom="margin">
              <wp:align>center</wp:align>
            </wp:positionH>
            <wp:positionV relativeFrom="margin">
              <wp:align>top</wp:align>
            </wp:positionV>
            <wp:extent cx="1645920" cy="906145"/>
            <wp:effectExtent l="0" t="0" r="0" b="8255"/>
            <wp:wrapSquare wrapText="bothSides"/>
            <wp:docPr id="12" name="Picture 12" descr="LOGO_JEDRA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JEDRA_F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85" cy="9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EAA" w:rsidRDefault="009C5EAA" w:rsidP="000465EF">
      <w:pPr>
        <w:jc w:val="center"/>
        <w:rPr>
          <w:b/>
          <w:bCs/>
          <w:caps/>
          <w:color w:val="000000"/>
        </w:rPr>
      </w:pPr>
    </w:p>
    <w:p w:rsidR="009C5EAA" w:rsidRDefault="009C5EAA" w:rsidP="000465EF">
      <w:pPr>
        <w:jc w:val="center"/>
        <w:rPr>
          <w:b/>
          <w:bCs/>
          <w:caps/>
          <w:color w:val="000000"/>
        </w:rPr>
      </w:pPr>
    </w:p>
    <w:p w:rsidR="009C5EAA" w:rsidRDefault="009C5EAA" w:rsidP="000465EF">
      <w:pPr>
        <w:jc w:val="center"/>
        <w:rPr>
          <w:b/>
          <w:bCs/>
          <w:caps/>
          <w:color w:val="000000"/>
        </w:rPr>
      </w:pPr>
    </w:p>
    <w:p w:rsidR="009C5EAA" w:rsidRDefault="009C5EAA" w:rsidP="000465EF">
      <w:pPr>
        <w:jc w:val="center"/>
        <w:rPr>
          <w:b/>
          <w:bCs/>
          <w:caps/>
          <w:color w:val="000000"/>
        </w:rPr>
      </w:pPr>
    </w:p>
    <w:p w:rsidR="009C5EAA" w:rsidRDefault="009C5EAA" w:rsidP="000465EF">
      <w:pPr>
        <w:jc w:val="center"/>
        <w:rPr>
          <w:b/>
          <w:bCs/>
          <w:caps/>
          <w:color w:val="000000"/>
        </w:rPr>
      </w:pPr>
    </w:p>
    <w:p w:rsidR="009C5EAA" w:rsidRDefault="009C5EAA" w:rsidP="000465EF">
      <w:pPr>
        <w:jc w:val="center"/>
        <w:rPr>
          <w:b/>
          <w:bCs/>
          <w:caps/>
          <w:color w:val="000000"/>
        </w:rPr>
      </w:pPr>
    </w:p>
    <w:p w:rsidR="009C5EAA" w:rsidRDefault="009C5EAA" w:rsidP="000465EF">
      <w:pPr>
        <w:jc w:val="center"/>
        <w:rPr>
          <w:b/>
          <w:bCs/>
          <w:caps/>
          <w:color w:val="000000"/>
        </w:rPr>
      </w:pPr>
    </w:p>
    <w:p w:rsidR="00E93B9B" w:rsidRPr="00F6656A" w:rsidRDefault="004340CA" w:rsidP="000465EF">
      <w:pPr>
        <w:jc w:val="center"/>
        <w:rPr>
          <w:b/>
          <w:bCs/>
        </w:rPr>
      </w:pPr>
      <w:r>
        <w:rPr>
          <w:b/>
          <w:bCs/>
          <w:caps/>
          <w:color w:val="000000"/>
        </w:rPr>
        <w:t xml:space="preserve">IPA </w:t>
      </w:r>
      <w:r w:rsidR="00E93B9B" w:rsidRPr="00F6656A">
        <w:rPr>
          <w:b/>
          <w:bCs/>
          <w:caps/>
          <w:color w:val="000000"/>
        </w:rPr>
        <w:t xml:space="preserve">Program prekogranične suradnje HrvatskA –CRNA GORA </w:t>
      </w:r>
      <w:r w:rsidR="00827294" w:rsidRPr="00524FF2">
        <w:rPr>
          <w:b/>
        </w:rPr>
        <w:t>2007 -2013</w:t>
      </w:r>
      <w:r>
        <w:rPr>
          <w:b/>
        </w:rPr>
        <w:t>.</w:t>
      </w:r>
    </w:p>
    <w:p w:rsidR="00E93B9B" w:rsidRPr="00F6656A" w:rsidRDefault="00E93B9B" w:rsidP="000465EF">
      <w:pPr>
        <w:spacing w:line="360" w:lineRule="auto"/>
        <w:rPr>
          <w:u w:val="single"/>
        </w:rPr>
      </w:pPr>
    </w:p>
    <w:p w:rsidR="00E93B9B" w:rsidRPr="00F6656A" w:rsidRDefault="002E1CCA" w:rsidP="009C5EAA">
      <w:pPr>
        <w:pStyle w:val="Heading2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IPA </w:t>
      </w:r>
      <w:r w:rsidR="00E93B9B" w:rsidRPr="00F6656A">
        <w:rPr>
          <w:b w:val="0"/>
          <w:bCs w:val="0"/>
          <w:sz w:val="24"/>
          <w:szCs w:val="24"/>
        </w:rPr>
        <w:t>Program prekogranične suradnje s Crnom Gorom izrađen je zajedničkim naporima ob</w:t>
      </w:r>
      <w:r w:rsidR="009033A2">
        <w:rPr>
          <w:b w:val="0"/>
          <w:bCs w:val="0"/>
          <w:sz w:val="24"/>
          <w:szCs w:val="24"/>
        </w:rPr>
        <w:t>i</w:t>
      </w:r>
      <w:r w:rsidR="00E93B9B" w:rsidRPr="00F6656A">
        <w:rPr>
          <w:b w:val="0"/>
          <w:bCs w:val="0"/>
          <w:sz w:val="24"/>
          <w:szCs w:val="24"/>
        </w:rPr>
        <w:t>ju država po principu partne</w:t>
      </w:r>
      <w:r>
        <w:rPr>
          <w:b w:val="0"/>
          <w:bCs w:val="0"/>
          <w:sz w:val="24"/>
          <w:szCs w:val="24"/>
        </w:rPr>
        <w:t>rstva te je od strane Europske k</w:t>
      </w:r>
      <w:r w:rsidR="00E93B9B" w:rsidRPr="00F6656A">
        <w:rPr>
          <w:b w:val="0"/>
          <w:bCs w:val="0"/>
          <w:sz w:val="24"/>
          <w:szCs w:val="24"/>
        </w:rPr>
        <w:t>omisije usvojen 20. prosinca 2007. godine.</w:t>
      </w:r>
    </w:p>
    <w:p w:rsidR="00E93B9B" w:rsidRPr="00F6656A" w:rsidRDefault="00E93B9B" w:rsidP="009C5EAA">
      <w:pPr>
        <w:pStyle w:val="Heading2"/>
        <w:spacing w:line="240" w:lineRule="auto"/>
        <w:jc w:val="both"/>
        <w:rPr>
          <w:sz w:val="24"/>
          <w:szCs w:val="24"/>
        </w:rPr>
      </w:pPr>
      <w:r w:rsidRPr="00F6656A">
        <w:rPr>
          <w:sz w:val="24"/>
          <w:szCs w:val="24"/>
        </w:rPr>
        <w:t>Područja prihvatljiva za financiranje</w:t>
      </w:r>
    </w:p>
    <w:p w:rsidR="00E93B9B" w:rsidRPr="00F6656A" w:rsidRDefault="004340CA" w:rsidP="009C5EAA">
      <w:pPr>
        <w:jc w:val="both"/>
      </w:pPr>
      <w:r>
        <w:t>Programsko područje programa dijeli se na prihvatljivo i pridruženo područje. Prihvatljivo područje čine Dubrovačko-neretvanska županija te općine</w:t>
      </w:r>
      <w:r w:rsidR="00E93B9B" w:rsidRPr="00F6656A">
        <w:t xml:space="preserve"> Herceg Novi, Tivat, Kotor, Budva, Bar, Ulcinj i Cetinje. </w:t>
      </w:r>
      <w:r>
        <w:t xml:space="preserve">Uz navedeno prihvatljivo područje, </w:t>
      </w:r>
      <w:r w:rsidR="00E93B9B" w:rsidRPr="00F6656A">
        <w:t xml:space="preserve">u </w:t>
      </w:r>
      <w:r w:rsidR="00832AFC">
        <w:t>p</w:t>
      </w:r>
      <w:r w:rsidR="00E93B9B" w:rsidRPr="00F6656A">
        <w:t>rogramu sa svojim projektima mo</w:t>
      </w:r>
      <w:r w:rsidR="00A47F1D">
        <w:t>gu</w:t>
      </w:r>
      <w:r w:rsidR="00E93B9B" w:rsidRPr="00F6656A">
        <w:t xml:space="preserve"> u manjem dijelu sudjelovati i tzv. pridružene regije, odnosno Splitsko-dalmatinska županija te </w:t>
      </w:r>
      <w:r>
        <w:t xml:space="preserve">općine </w:t>
      </w:r>
      <w:r w:rsidR="00E93B9B" w:rsidRPr="00F6656A">
        <w:t xml:space="preserve">Nikšić, Podgorica i Danilovgrad. </w:t>
      </w:r>
    </w:p>
    <w:p w:rsidR="00E93B9B" w:rsidRPr="00F6656A" w:rsidRDefault="00E93B9B" w:rsidP="009C5EAA">
      <w:pPr>
        <w:pStyle w:val="Heading2"/>
        <w:spacing w:before="120" w:after="120" w:line="240" w:lineRule="auto"/>
        <w:jc w:val="both"/>
        <w:rPr>
          <w:sz w:val="24"/>
          <w:szCs w:val="24"/>
        </w:rPr>
      </w:pPr>
      <w:r w:rsidRPr="00F6656A">
        <w:rPr>
          <w:sz w:val="24"/>
          <w:szCs w:val="24"/>
        </w:rPr>
        <w:t>Područja ulaganja (Prioriteti i mjere)</w:t>
      </w:r>
    </w:p>
    <w:p w:rsidR="00E93B9B" w:rsidRPr="00F6656A" w:rsidRDefault="00E93B9B" w:rsidP="009C5EAA">
      <w:pPr>
        <w:jc w:val="both"/>
      </w:pPr>
      <w:r w:rsidRPr="00F6656A">
        <w:t>Sukladno zajednički definiranim prioritetima i mjerama, suradnja se odvija na područjima  zaštit</w:t>
      </w:r>
      <w:r w:rsidR="009033A2">
        <w:t>e</w:t>
      </w:r>
      <w:r w:rsidRPr="00F6656A">
        <w:t xml:space="preserve"> okoliša, prirodno</w:t>
      </w:r>
      <w:r w:rsidR="009033A2">
        <w:t>g</w:t>
      </w:r>
      <w:r w:rsidRPr="00F6656A">
        <w:t xml:space="preserve"> i kulturno</w:t>
      </w:r>
      <w:r w:rsidR="009033A2">
        <w:t>g</w:t>
      </w:r>
      <w:r w:rsidRPr="00F6656A">
        <w:t xml:space="preserve"> nasljeđ</w:t>
      </w:r>
      <w:r w:rsidR="009033A2">
        <w:t>a</w:t>
      </w:r>
      <w:r w:rsidRPr="00F6656A">
        <w:t>, turizm</w:t>
      </w:r>
      <w:r w:rsidR="009033A2">
        <w:t>a</w:t>
      </w:r>
      <w:r w:rsidRPr="00F6656A">
        <w:t xml:space="preserve"> i kultur</w:t>
      </w:r>
      <w:r w:rsidR="009033A2">
        <w:t>e</w:t>
      </w:r>
      <w:r w:rsidR="00A47F1D">
        <w:t>, a potiče se i</w:t>
      </w:r>
      <w:r w:rsidR="00BA6642">
        <w:t xml:space="preserve"> </w:t>
      </w:r>
      <w:r w:rsidRPr="00F6656A">
        <w:t>provedba malih projekata usmjerenih na razvoj zaje</w:t>
      </w:r>
      <w:r>
        <w:t>dnice i dobrosusjedskih odnosa.</w:t>
      </w:r>
    </w:p>
    <w:p w:rsidR="00E93B9B" w:rsidRPr="00F6656A" w:rsidRDefault="00E93B9B" w:rsidP="009C5EAA">
      <w:pPr>
        <w:pStyle w:val="Heading2"/>
        <w:spacing w:before="120" w:after="120" w:line="240" w:lineRule="auto"/>
        <w:jc w:val="both"/>
        <w:rPr>
          <w:sz w:val="24"/>
          <w:szCs w:val="24"/>
        </w:rPr>
      </w:pPr>
      <w:r w:rsidRPr="00F6656A">
        <w:rPr>
          <w:sz w:val="24"/>
          <w:szCs w:val="24"/>
        </w:rPr>
        <w:t>Tko mogu biti korisnici</w:t>
      </w:r>
    </w:p>
    <w:p w:rsidR="00E93B9B" w:rsidRPr="00F6656A" w:rsidRDefault="00E93B9B" w:rsidP="009C5EAA">
      <w:pPr>
        <w:jc w:val="both"/>
      </w:pPr>
      <w:r w:rsidRPr="00670A22">
        <w:t xml:space="preserve">Program je namijenjen neprofitnim organizacijama i institucijama koje u okviru prekograničnog projekta žele ostvariti suradnju s najmanje jednim prekograničnim partnerom iz susjedne države. Projektne aktivnosti moraju doprinositi ciljevima programa i njihovim prioritetima te se moraju odvijati u prihvatljivom području. Prijavitelji projekata obavezni su  sufinancirati projekt svojim vlastitim sredstvima. </w:t>
      </w:r>
      <w:r w:rsidRPr="007A0B9E">
        <w:t xml:space="preserve">Potencijalni korisnici </w:t>
      </w:r>
      <w:r w:rsidR="00401A10">
        <w:t>su</w:t>
      </w:r>
      <w:r w:rsidR="006B641B">
        <w:t xml:space="preserve"> </w:t>
      </w:r>
      <w:r>
        <w:t>j</w:t>
      </w:r>
      <w:r w:rsidRPr="00F6656A">
        <w:t xml:space="preserve">edinice lokalne i regionalne samouprave, </w:t>
      </w:r>
      <w:r>
        <w:t>r</w:t>
      </w:r>
      <w:r w:rsidRPr="00F6656A">
        <w:t xml:space="preserve">egionalne/lokalne razvojne agencije, </w:t>
      </w:r>
      <w:r>
        <w:t>a</w:t>
      </w:r>
      <w:r w:rsidRPr="00F6656A">
        <w:t xml:space="preserve">gencije i druga javna tijela nadležna za zaštitu, </w:t>
      </w:r>
      <w:r>
        <w:t>j</w:t>
      </w:r>
      <w:r w:rsidRPr="00F6656A">
        <w:t xml:space="preserve">avne institucije za obrazovanje i istraživanje, NVO, </w:t>
      </w:r>
      <w:r>
        <w:t>t</w:t>
      </w:r>
      <w:r w:rsidRPr="00F6656A">
        <w:t xml:space="preserve">uristički savezi/turističke zajednice, </w:t>
      </w:r>
      <w:r>
        <w:t>g</w:t>
      </w:r>
      <w:r w:rsidRPr="00F6656A">
        <w:t xml:space="preserve">ospodarske/obrtničke komore, </w:t>
      </w:r>
      <w:r>
        <w:t>t</w:t>
      </w:r>
      <w:r w:rsidRPr="00F6656A">
        <w:t xml:space="preserve">uristički i poljoprivredni klasteri, </w:t>
      </w:r>
      <w:r>
        <w:t>i</w:t>
      </w:r>
      <w:r w:rsidRPr="00F6656A">
        <w:t xml:space="preserve">nstitucije i udruge u kulturi, </w:t>
      </w:r>
      <w:r>
        <w:t>p</w:t>
      </w:r>
      <w:r w:rsidRPr="00F6656A">
        <w:t>ružatelji socijalnih usluga (centri za socijalnu skrb, domovi zdravlja, itd.)</w:t>
      </w:r>
    </w:p>
    <w:p w:rsidR="00E93B9B" w:rsidRPr="00F6656A" w:rsidRDefault="00E93B9B" w:rsidP="009C5EAA">
      <w:pPr>
        <w:pStyle w:val="Heading2"/>
        <w:keepNext/>
        <w:keepLines/>
        <w:spacing w:before="120" w:after="120" w:line="240" w:lineRule="auto"/>
        <w:jc w:val="both"/>
        <w:rPr>
          <w:sz w:val="24"/>
          <w:szCs w:val="24"/>
        </w:rPr>
      </w:pPr>
      <w:r w:rsidRPr="00F6656A">
        <w:rPr>
          <w:sz w:val="24"/>
          <w:szCs w:val="24"/>
        </w:rPr>
        <w:t>Alokacija po programu</w:t>
      </w:r>
      <w:r>
        <w:rPr>
          <w:sz w:val="24"/>
          <w:szCs w:val="24"/>
        </w:rPr>
        <w:t xml:space="preserve"> i model sufinanciranja</w:t>
      </w:r>
    </w:p>
    <w:p w:rsidR="00E93B9B" w:rsidRDefault="003350A3" w:rsidP="009C5EAA">
      <w:pPr>
        <w:jc w:val="both"/>
      </w:pPr>
      <w:r>
        <w:t xml:space="preserve">U razdoblju od 2007. do </w:t>
      </w:r>
      <w:r w:rsidR="00E93B9B" w:rsidRPr="007A0B9E">
        <w:t>2013. godine, godišnja alokacija po programu za Republiku Hrvatsku iznosi 400.000 EUR za svaku godinu.</w:t>
      </w:r>
      <w:r w:rsidR="00E93B9B">
        <w:t xml:space="preserve"> </w:t>
      </w:r>
      <w:r w:rsidR="00E93B9B" w:rsidRPr="00F6656A">
        <w:t xml:space="preserve">Minimalne i </w:t>
      </w:r>
      <w:r w:rsidR="00E93B9B">
        <w:t>m</w:t>
      </w:r>
      <w:r w:rsidR="00E93B9B" w:rsidRPr="00F6656A">
        <w:t>a</w:t>
      </w:r>
      <w:r w:rsidR="00E93B9B">
        <w:t>ks</w:t>
      </w:r>
      <w:r w:rsidR="00E93B9B" w:rsidRPr="00F6656A">
        <w:t xml:space="preserve">imalne alokacije po projektu kreću se od 50.000-300.000 </w:t>
      </w:r>
      <w:r w:rsidR="00E93B9B">
        <w:t>EUR</w:t>
      </w:r>
      <w:r w:rsidR="00E93B9B" w:rsidRPr="00F6656A">
        <w:t xml:space="preserve">. </w:t>
      </w:r>
    </w:p>
    <w:p w:rsidR="00E93B9B" w:rsidRPr="00F357C9" w:rsidRDefault="00E93B9B" w:rsidP="009C5EAA">
      <w:pPr>
        <w:jc w:val="both"/>
      </w:pPr>
      <w:r w:rsidRPr="00F357C9">
        <w:t>Kao i u svim ostalim programima prekogranične suradnje u kojima sudjeluje Republika Hrvatska</w:t>
      </w:r>
      <w:r w:rsidR="006B641B">
        <w:t xml:space="preserve"> u financijskom razdoblju od 2007. do 2013. godine</w:t>
      </w:r>
      <w:r w:rsidRPr="00F357C9">
        <w:t xml:space="preserve">, projekti se financiraju do 85% </w:t>
      </w:r>
      <w:r>
        <w:t xml:space="preserve">bespovratnim </w:t>
      </w:r>
      <w:r w:rsidRPr="00F357C9">
        <w:t xml:space="preserve">EU sredstvima, dok sufinanciranje od strane korisnika iznosi najmanje 15%. </w:t>
      </w:r>
      <w:r w:rsidR="00401A10">
        <w:t>H</w:t>
      </w:r>
      <w:r w:rsidRPr="00F357C9">
        <w:t xml:space="preserve">rvatski partneri sufinanciraju projekte </w:t>
      </w:r>
      <w:r w:rsidRPr="00A85CAB">
        <w:t>vlastitim sredstvima, sredstvima partnera na projektu te sredstvima iz drugih izvora (drugi donatori, banke</w:t>
      </w:r>
      <w:r w:rsidR="003350A3">
        <w:t>,</w:t>
      </w:r>
      <w:r w:rsidRPr="00A85CAB">
        <w:t xml:space="preserve"> itd.)</w:t>
      </w:r>
      <w:r w:rsidR="00561B99">
        <w:t>.</w:t>
      </w:r>
      <w:r w:rsidRPr="00A85CAB">
        <w:t xml:space="preserve"> U </w:t>
      </w:r>
      <w:r w:rsidR="006B641B">
        <w:t xml:space="preserve">Programu se koristi </w:t>
      </w:r>
      <w:r w:rsidR="00561B99">
        <w:t>metoda pred</w:t>
      </w:r>
      <w:r w:rsidRPr="00A85CAB">
        <w:t>financiranja</w:t>
      </w:r>
      <w:r w:rsidR="00561B99">
        <w:t xml:space="preserve"> od strane EU</w:t>
      </w:r>
      <w:r w:rsidRPr="00A85CAB">
        <w:t xml:space="preserve"> prema kojoj korisnik </w:t>
      </w:r>
      <w:r w:rsidR="00832AFC">
        <w:t>bespovratnih sredstava</w:t>
      </w:r>
      <w:r w:rsidRPr="00A85CAB">
        <w:t xml:space="preserve"> dio sredstava (ovisno o </w:t>
      </w:r>
      <w:r w:rsidR="00832AFC">
        <w:t xml:space="preserve">njihovom iznosu </w:t>
      </w:r>
      <w:r w:rsidRPr="00A85CAB">
        <w:t>i trajanju projekta) dobiva unaprijed</w:t>
      </w:r>
      <w:r w:rsidR="00A85CAB">
        <w:t>.</w:t>
      </w:r>
    </w:p>
    <w:p w:rsidR="005F797A" w:rsidRPr="006B641B" w:rsidRDefault="00E93B9B" w:rsidP="006B641B">
      <w:pPr>
        <w:spacing w:before="120" w:after="120"/>
        <w:jc w:val="both"/>
        <w:outlineLvl w:val="5"/>
        <w:rPr>
          <w:b/>
          <w:bCs/>
        </w:rPr>
      </w:pPr>
      <w:r w:rsidRPr="00F6656A">
        <w:rPr>
          <w:b/>
          <w:bCs/>
        </w:rPr>
        <w:lastRenderedPageBreak/>
        <w:t>Sustav provedbe</w:t>
      </w:r>
    </w:p>
    <w:p w:rsidR="005F797A" w:rsidRPr="00F6656A" w:rsidRDefault="005F797A" w:rsidP="009C5EAA">
      <w:pPr>
        <w:jc w:val="both"/>
      </w:pPr>
      <w:r w:rsidRPr="00401A10">
        <w:t xml:space="preserve">Sustav provedbe je decentralizirano upravljanje bez prethodne </w:t>
      </w:r>
      <w:r w:rsidRPr="00401A10">
        <w:rPr>
          <w:i/>
        </w:rPr>
        <w:t xml:space="preserve">ex-ante </w:t>
      </w:r>
      <w:r w:rsidRPr="00401A10">
        <w:t xml:space="preserve">kontrole s hrvatske strane, a centralizirano </w:t>
      </w:r>
      <w:r w:rsidR="00C90442" w:rsidRPr="004340CA">
        <w:t>upravljanje s crnogorske strane.</w:t>
      </w:r>
      <w:r w:rsidRPr="00401A10">
        <w:t xml:space="preserve"> hrvatski projektni partneri mogu koristiti isključivo hrvatsku alokaciju programa, a ugovor sklapaju s Agencijom za regionalni razvoj Republike Hrvatske, dok crnogorski partneri koriste crnogorsku alokaciju, a ugovor sklapaju s Delegacijom Europske unije u Crnoj Gori.</w:t>
      </w:r>
    </w:p>
    <w:p w:rsidR="00E93B9B" w:rsidRPr="00F6656A" w:rsidRDefault="00E93B9B" w:rsidP="009C5EAA">
      <w:pPr>
        <w:spacing w:before="120" w:after="120"/>
        <w:jc w:val="both"/>
        <w:rPr>
          <w:b/>
          <w:bCs/>
          <w:kern w:val="36"/>
        </w:rPr>
      </w:pPr>
      <w:r w:rsidRPr="00F6656A">
        <w:rPr>
          <w:b/>
          <w:bCs/>
          <w:kern w:val="36"/>
        </w:rPr>
        <w:t>Natječaji</w:t>
      </w:r>
    </w:p>
    <w:p w:rsidR="003A03CE" w:rsidRDefault="003A03CE" w:rsidP="009C5EAA">
      <w:pPr>
        <w:tabs>
          <w:tab w:val="num" w:pos="360"/>
        </w:tabs>
        <w:jc w:val="both"/>
      </w:pPr>
      <w:r w:rsidRPr="003A03CE">
        <w:t xml:space="preserve">Prvi poziv na dostavu projektnih prijedloga bio je otvoren od </w:t>
      </w:r>
      <w:r w:rsidRPr="00F6656A">
        <w:t>21.</w:t>
      </w:r>
      <w:r>
        <w:t xml:space="preserve"> kolovoza do 18. studenoga 2009</w:t>
      </w:r>
      <w:r w:rsidRPr="003A03CE">
        <w:t xml:space="preserve">. godine (financijske alokacije za 2007. i 2008. godinu). U sklopu tog poziva na dostavu projektnih prijedloga, indikativni iznos od 1.620.000,00 EUR (720.000,00 EUR za </w:t>
      </w:r>
      <w:r w:rsidR="006E0B4B">
        <w:t>prijavitelje</w:t>
      </w:r>
      <w:r w:rsidRPr="003A03CE">
        <w:t xml:space="preserve"> iz Hrvatske, 900.000,00 EUR za </w:t>
      </w:r>
      <w:r w:rsidR="006E0B4B">
        <w:t>prijavitelje</w:t>
      </w:r>
      <w:r w:rsidRPr="003A03CE">
        <w:t xml:space="preserve"> iz Crne Gore) bio je na raspolaganju za implementaciju projekata u obje države. Ukupno su zaprimljena 24 projektn</w:t>
      </w:r>
      <w:r w:rsidR="00401A10">
        <w:t>a</w:t>
      </w:r>
      <w:r w:rsidRPr="003A03CE">
        <w:t xml:space="preserve"> prijedloga, od čega je 5 projekata ukupne vrijednosti 716.631,11 EUR </w:t>
      </w:r>
      <w:r w:rsidR="00922104">
        <w:t xml:space="preserve">(iz dijela alokacije za hrvatske prijavitelje) </w:t>
      </w:r>
      <w:r w:rsidRPr="003A03CE">
        <w:t>odobre</w:t>
      </w:r>
      <w:r w:rsidR="003350A3">
        <w:t>no za financiranje.</w:t>
      </w:r>
    </w:p>
    <w:p w:rsidR="003350A3" w:rsidRPr="003350A3" w:rsidRDefault="003350A3" w:rsidP="009C5EAA">
      <w:pPr>
        <w:tabs>
          <w:tab w:val="num" w:pos="360"/>
        </w:tabs>
        <w:jc w:val="both"/>
      </w:pPr>
    </w:p>
    <w:p w:rsidR="00AD4A2B" w:rsidRPr="00AD4A2B" w:rsidRDefault="002B71F8" w:rsidP="004340CA">
      <w:pPr>
        <w:tabs>
          <w:tab w:val="num" w:pos="360"/>
        </w:tabs>
        <w:jc w:val="both"/>
      </w:pPr>
      <w:r w:rsidRPr="006B641B">
        <w:rPr>
          <w:lang w:val="pl-PL"/>
        </w:rPr>
        <w:t>Drugi</w:t>
      </w:r>
      <w:r w:rsidRPr="006B641B">
        <w:t xml:space="preserve"> poziv na dostavu projektnih prijedloga bio je otvoren od 5. prosinca 2011. </w:t>
      </w:r>
      <w:r w:rsidRPr="006B641B">
        <w:rPr>
          <w:lang w:val="pl-PL"/>
        </w:rPr>
        <w:t>godine</w:t>
      </w:r>
      <w:r w:rsidRPr="006B641B">
        <w:t xml:space="preserve"> </w:t>
      </w:r>
      <w:r w:rsidRPr="006B641B">
        <w:rPr>
          <w:lang w:val="pl-PL"/>
        </w:rPr>
        <w:t xml:space="preserve">do </w:t>
      </w:r>
      <w:r w:rsidRPr="006B641B">
        <w:t xml:space="preserve">5. ožujka 2012. godine (financijske alokacije za 2009., 2010. i 2011. godinu). U sklopu tog poziva na dostavu projektnih prijedloga, indikativni iznos od 2.4300.000,00 EUR (1-080.000,00 EUR za </w:t>
      </w:r>
      <w:r w:rsidR="006E0B4B" w:rsidRPr="006B641B">
        <w:t xml:space="preserve">prijavitelje </w:t>
      </w:r>
      <w:r w:rsidRPr="006B641B">
        <w:t xml:space="preserve">iz Hrvatske, 1.350.000,00 EUR za </w:t>
      </w:r>
      <w:r w:rsidR="006E0B4B" w:rsidRPr="006B641B">
        <w:t>prijavitelje</w:t>
      </w:r>
      <w:r w:rsidRPr="006B641B">
        <w:t xml:space="preserve"> iz Crne Gore) bio je na raspolaganju za implementaciju projekata u obje države. Ukupno je zaprimljeno 49 projektnih prijedloga</w:t>
      </w:r>
      <w:r w:rsidR="00FD3AEA" w:rsidRPr="006B641B">
        <w:t>.</w:t>
      </w:r>
      <w:r w:rsidR="006B641B" w:rsidRPr="006B641B">
        <w:t xml:space="preserve"> </w:t>
      </w:r>
      <w:r w:rsidR="00AD4A2B" w:rsidRPr="006B641B">
        <w:t>Trenutno je u provedbi 7 projekata, a ukupna v</w:t>
      </w:r>
      <w:r w:rsidR="00B001A6">
        <w:t>rijednost ugovorenih sredstava</w:t>
      </w:r>
      <w:r w:rsidR="00AD4A2B" w:rsidRPr="006B641B">
        <w:t xml:space="preserve"> iznosi 2,2 </w:t>
      </w:r>
      <w:r w:rsidR="00FD3AEA" w:rsidRPr="006B641B">
        <w:t>milijuna EUR.</w:t>
      </w:r>
    </w:p>
    <w:p w:rsidR="003350A3" w:rsidRPr="003A03CE" w:rsidRDefault="003350A3" w:rsidP="009C5EAA">
      <w:pPr>
        <w:tabs>
          <w:tab w:val="num" w:pos="360"/>
        </w:tabs>
        <w:jc w:val="both"/>
      </w:pPr>
    </w:p>
    <w:p w:rsidR="006B6EAC" w:rsidRDefault="006B6EAC" w:rsidP="004340CA">
      <w:pPr>
        <w:spacing w:after="160" w:line="259" w:lineRule="auto"/>
        <w:contextualSpacing/>
        <w:jc w:val="both"/>
      </w:pPr>
      <w:r w:rsidRPr="006B6EAC">
        <w:t xml:space="preserve">Treći poziv na dostavu projektnih prijedloga bio je raspisan od 13. rujna 2013. do 13. prosinca 2013. za alokacije za 2012. i 2013. godinu. Ukupan iznos IPA sredstava unutar ovog poziva je </w:t>
      </w:r>
      <w:r w:rsidRPr="006B6EAC">
        <w:rPr>
          <w:bCs/>
        </w:rPr>
        <w:t>1.800.000</w:t>
      </w:r>
      <w:r w:rsidRPr="006B6EAC">
        <w:t xml:space="preserve"> €, od čega je </w:t>
      </w:r>
      <w:r w:rsidRPr="006B6EAC">
        <w:rPr>
          <w:bCs/>
        </w:rPr>
        <w:t>900.000</w:t>
      </w:r>
      <w:r w:rsidRPr="006B6EAC">
        <w:t xml:space="preserve"> € namijenjeno za Hrvatsku i </w:t>
      </w:r>
      <w:r w:rsidRPr="006B6EAC">
        <w:rPr>
          <w:bCs/>
        </w:rPr>
        <w:t>900.000</w:t>
      </w:r>
      <w:r w:rsidRPr="006B6EAC">
        <w:t xml:space="preserve"> € za Crnu Goru (ovaj iznos može biti uvećan za iznos neutrošenih sredstava iz IPA alokacije 2011 za Crnu Goru). U tijeku je </w:t>
      </w:r>
      <w:r w:rsidR="00941E1D">
        <w:t xml:space="preserve">ugovaranje </w:t>
      </w:r>
      <w:r w:rsidRPr="006B6EAC">
        <w:t>projekata.</w:t>
      </w:r>
    </w:p>
    <w:p w:rsidR="008D257F" w:rsidRDefault="008D257F" w:rsidP="004340CA">
      <w:pPr>
        <w:spacing w:after="160" w:line="259" w:lineRule="auto"/>
        <w:contextualSpacing/>
        <w:jc w:val="both"/>
      </w:pPr>
    </w:p>
    <w:p w:rsidR="008D257F" w:rsidRDefault="008D257F" w:rsidP="004340CA">
      <w:pPr>
        <w:spacing w:after="160" w:line="259" w:lineRule="auto"/>
        <w:contextualSpacing/>
        <w:jc w:val="both"/>
      </w:pPr>
      <w:r>
        <w:rPr>
          <w:bCs/>
        </w:rPr>
        <w:t xml:space="preserve">U sklopu ovog Programa neće se raspisivati novi natječaji za dostavu projektnih prijedloga. Prekogranična suradnja Hrvatska – </w:t>
      </w:r>
      <w:r>
        <w:rPr>
          <w:bCs/>
        </w:rPr>
        <w:t>Crna Gora</w:t>
      </w:r>
      <w:bookmarkStart w:id="0" w:name="_GoBack"/>
      <w:bookmarkEnd w:id="0"/>
      <w:r>
        <w:rPr>
          <w:bCs/>
        </w:rPr>
        <w:t xml:space="preserve"> nastavit će se i u novom financijskom razdoblju 2014.-2020. u okviru trilateralnog Interreg IPA programa prekogranične suradnje Hrvatska-Bosna i Hercegovina-Crna Gora.</w:t>
      </w:r>
    </w:p>
    <w:p w:rsidR="00103147" w:rsidRDefault="00103147" w:rsidP="004340CA">
      <w:pPr>
        <w:spacing w:after="160" w:line="259" w:lineRule="auto"/>
        <w:contextualSpacing/>
        <w:jc w:val="both"/>
      </w:pPr>
    </w:p>
    <w:p w:rsidR="008071CA" w:rsidRDefault="008071CA" w:rsidP="008071CA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b/>
          <w:noProof/>
        </w:rPr>
        <w:t>Informacije o programu</w:t>
      </w:r>
    </w:p>
    <w:p w:rsidR="008071CA" w:rsidRDefault="008071CA" w:rsidP="008071CA">
      <w:pPr>
        <w:autoSpaceDE w:val="0"/>
        <w:autoSpaceDN w:val="0"/>
        <w:adjustRightInd w:val="0"/>
        <w:jc w:val="both"/>
        <w:rPr>
          <w:rStyle w:val="Hyperlink"/>
          <w:color w:val="4F81BD" w:themeColor="accent1"/>
        </w:rPr>
      </w:pPr>
      <w:r>
        <w:rPr>
          <w:noProof/>
        </w:rPr>
        <w:t xml:space="preserve">Dodatne informacije o programu potražite na: </w:t>
      </w:r>
      <w:hyperlink r:id="rId9" w:history="1">
        <w:r w:rsidRPr="00C429ED">
          <w:rPr>
            <w:rStyle w:val="Hyperlink"/>
          </w:rPr>
          <w:t>www.cbccro-mne.org</w:t>
        </w:r>
      </w:hyperlink>
      <w:r>
        <w:rPr>
          <w:color w:val="4F81BD" w:themeColor="accent1"/>
          <w:u w:val="single"/>
        </w:rPr>
        <w:t>,</w:t>
      </w:r>
      <w:r w:rsidRPr="00370122">
        <w:rPr>
          <w:color w:val="4F81BD" w:themeColor="accent1"/>
        </w:rPr>
        <w:t xml:space="preserve"> </w:t>
      </w:r>
      <w:hyperlink r:id="rId10" w:history="1">
        <w:r w:rsidRPr="0048202A">
          <w:rPr>
            <w:rStyle w:val="Hyperlink"/>
          </w:rPr>
          <w:t>www.mrrfeu.hr</w:t>
        </w:r>
      </w:hyperlink>
      <w:r w:rsidRPr="00370122">
        <w:t xml:space="preserve">, i </w:t>
      </w:r>
      <w:hyperlink w:history="1">
        <w:r>
          <w:rPr>
            <w:rStyle w:val="Hyperlink"/>
          </w:rPr>
          <w:t xml:space="preserve">www.arr.hr. </w:t>
        </w:r>
      </w:hyperlink>
    </w:p>
    <w:p w:rsidR="00E93B9B" w:rsidRDefault="00E93B9B" w:rsidP="009C5EAA">
      <w:pPr>
        <w:rPr>
          <w:rFonts w:ascii="Times New Roman Bold" w:hAnsi="Times New Roman Bold" w:cs="Times New Roman Bold"/>
          <w:b/>
          <w:bCs/>
          <w:u w:val="single"/>
        </w:rPr>
      </w:pPr>
    </w:p>
    <w:p w:rsidR="00E93B9B" w:rsidRPr="009C5EAA" w:rsidRDefault="006E0B4B" w:rsidP="000D37E7">
      <w:pPr>
        <w:rPr>
          <w:rFonts w:ascii="Times New Roman Bold" w:hAnsi="Times New Roman Bold" w:cs="Times New Roman Bold"/>
          <w:b/>
          <w:bCs/>
          <w:sz w:val="22"/>
          <w:u w:val="single"/>
        </w:rPr>
      </w:pPr>
      <w:r w:rsidRPr="009C5EAA">
        <w:rPr>
          <w:rFonts w:ascii="Times New Roman Bold" w:hAnsi="Times New Roman Bold" w:cs="Times New Roman Bold"/>
          <w:b/>
          <w:bCs/>
          <w:sz w:val="22"/>
          <w:u w:val="single"/>
        </w:rPr>
        <w:t>Kontakt</w:t>
      </w:r>
      <w:r w:rsidR="00E93B9B" w:rsidRPr="009C5EAA">
        <w:rPr>
          <w:rFonts w:ascii="Times New Roman Bold" w:hAnsi="Times New Roman Bold" w:cs="Times New Roman Bold"/>
          <w:b/>
          <w:bCs/>
          <w:sz w:val="22"/>
          <w:u w:val="single"/>
        </w:rPr>
        <w:t>:</w:t>
      </w:r>
    </w:p>
    <w:p w:rsidR="001708A6" w:rsidRPr="00370122" w:rsidRDefault="00606EB6" w:rsidP="00370122">
      <w:pPr>
        <w:jc w:val="both"/>
      </w:pPr>
      <w:r w:rsidRPr="00370122">
        <w:t>Margareta Aničić</w:t>
      </w:r>
      <w:r w:rsidR="00C90442" w:rsidRPr="00370122">
        <w:t xml:space="preserve">, </w:t>
      </w:r>
      <w:r w:rsidR="001708A6" w:rsidRPr="00370122">
        <w:t>Task</w:t>
      </w:r>
      <w:r w:rsidR="0048202A" w:rsidRPr="00370122">
        <w:t xml:space="preserve"> </w:t>
      </w:r>
      <w:r w:rsidR="001708A6" w:rsidRPr="00370122">
        <w:t>Manager</w:t>
      </w:r>
    </w:p>
    <w:p w:rsidR="003350A3" w:rsidRDefault="00E93B9B" w:rsidP="00370122">
      <w:pPr>
        <w:jc w:val="both"/>
      </w:pPr>
      <w:r w:rsidRPr="00370122">
        <w:t xml:space="preserve">E-mail: </w:t>
      </w:r>
      <w:hyperlink r:id="rId11" w:history="1">
        <w:r w:rsidR="00606EB6" w:rsidRPr="00370122">
          <w:rPr>
            <w:rStyle w:val="Hyperlink"/>
          </w:rPr>
          <w:t>margareta.anicic</w:t>
        </w:r>
        <w:r w:rsidR="00606EB6" w:rsidRPr="00370122">
          <w:rPr>
            <w:rStyle w:val="Hyperlink"/>
            <w:rFonts w:eastAsia="Calibri"/>
          </w:rPr>
          <w:t>@mrrfeu.hr</w:t>
        </w:r>
      </w:hyperlink>
    </w:p>
    <w:p w:rsidR="00606EB6" w:rsidRPr="00370122" w:rsidRDefault="00606EB6" w:rsidP="00370122">
      <w:pPr>
        <w:jc w:val="both"/>
      </w:pPr>
    </w:p>
    <w:p w:rsidR="006B6EAC" w:rsidRPr="00370122" w:rsidRDefault="00606EB6" w:rsidP="004340CA">
      <w:pPr>
        <w:jc w:val="both"/>
      </w:pPr>
      <w:r w:rsidRPr="0048202A">
        <w:t>Kristina Brbora</w:t>
      </w:r>
      <w:r w:rsidR="00C90442" w:rsidRPr="0048202A">
        <w:t>,</w:t>
      </w:r>
      <w:r w:rsidR="001708A6" w:rsidRPr="0048202A">
        <w:t xml:space="preserve"> </w:t>
      </w:r>
      <w:r w:rsidR="001708A6" w:rsidRPr="00703A90">
        <w:t>Djelatnica za provedbu programa</w:t>
      </w:r>
      <w:r w:rsidR="001708A6">
        <w:t xml:space="preserve"> (Antena Dubrovnik)</w:t>
      </w:r>
    </w:p>
    <w:p w:rsidR="006B6EAC" w:rsidRDefault="006B6EAC" w:rsidP="004340CA">
      <w:pPr>
        <w:jc w:val="both"/>
      </w:pPr>
      <w:r w:rsidRPr="0048202A">
        <w:t>E-mail</w:t>
      </w:r>
      <w:r w:rsidRPr="00370122">
        <w:t>:</w:t>
      </w:r>
      <w:r w:rsidRPr="0048202A">
        <w:t xml:space="preserve"> </w:t>
      </w:r>
      <w:hyperlink r:id="rId12" w:history="1">
        <w:r w:rsidRPr="00370122">
          <w:rPr>
            <w:rStyle w:val="Hyperlink"/>
          </w:rPr>
          <w:t>tm@cbccro-mne.org</w:t>
        </w:r>
      </w:hyperlink>
    </w:p>
    <w:p w:rsidR="00D05E7E" w:rsidRPr="00370122" w:rsidRDefault="00D05E7E" w:rsidP="004340CA">
      <w:pPr>
        <w:jc w:val="both"/>
      </w:pPr>
    </w:p>
    <w:p w:rsidR="006B6EAC" w:rsidRPr="00370122" w:rsidRDefault="006B6EAC" w:rsidP="004340CA">
      <w:pPr>
        <w:jc w:val="both"/>
      </w:pPr>
      <w:r w:rsidRPr="0048202A">
        <w:t>Perica Pušić</w:t>
      </w:r>
      <w:r w:rsidR="00103147" w:rsidRPr="0048202A">
        <w:t>,</w:t>
      </w:r>
      <w:r w:rsidR="009B2203" w:rsidRPr="009B2203">
        <w:t xml:space="preserve"> </w:t>
      </w:r>
      <w:r w:rsidR="009B2203" w:rsidRPr="00703A90">
        <w:t>Djel</w:t>
      </w:r>
      <w:r w:rsidR="009B2203">
        <w:t>atnik za informiranje javnosti/</w:t>
      </w:r>
      <w:r w:rsidR="009B2203" w:rsidRPr="00703A90">
        <w:t xml:space="preserve"> provedbu programa </w:t>
      </w:r>
    </w:p>
    <w:p w:rsidR="006B6EAC" w:rsidRDefault="006B6EAC" w:rsidP="004340CA">
      <w:pPr>
        <w:jc w:val="both"/>
      </w:pPr>
      <w:r w:rsidRPr="0048202A">
        <w:t>E-mail:</w:t>
      </w:r>
      <w:r w:rsidRPr="00370122">
        <w:t xml:space="preserve"> </w:t>
      </w:r>
      <w:hyperlink r:id="rId13" w:history="1">
        <w:r w:rsidR="00370122" w:rsidRPr="00301232">
          <w:rPr>
            <w:rStyle w:val="Hyperlink"/>
          </w:rPr>
          <w:t>io@cbccro-mne.org</w:t>
        </w:r>
      </w:hyperlink>
    </w:p>
    <w:p w:rsidR="006B6EAC" w:rsidRPr="00370122" w:rsidRDefault="006B6EAC" w:rsidP="00370122">
      <w:pPr>
        <w:jc w:val="both"/>
      </w:pPr>
    </w:p>
    <w:p w:rsidR="007F12F8" w:rsidRPr="00370122" w:rsidRDefault="007F12F8" w:rsidP="00370122">
      <w:pPr>
        <w:jc w:val="both"/>
      </w:pPr>
      <w:r w:rsidRPr="00370122">
        <w:lastRenderedPageBreak/>
        <w:t>Dragan Đurišić</w:t>
      </w:r>
      <w:r w:rsidR="0048202A" w:rsidRPr="00370122">
        <w:t xml:space="preserve">, </w:t>
      </w:r>
      <w:r w:rsidR="009B2203" w:rsidRPr="0048202A">
        <w:t>Voditelj ZTT-a</w:t>
      </w:r>
    </w:p>
    <w:p w:rsidR="00370122" w:rsidRPr="001B6405" w:rsidRDefault="007F12F8" w:rsidP="00370122">
      <w:pPr>
        <w:jc w:val="both"/>
        <w:rPr>
          <w:rFonts w:eastAsia="Calibri"/>
        </w:rPr>
      </w:pPr>
      <w:r w:rsidRPr="00370122">
        <w:t>E-mail:</w:t>
      </w:r>
      <w:r w:rsidRPr="00370122">
        <w:rPr>
          <w:rStyle w:val="Hyperlink"/>
          <w:rFonts w:eastAsia="Calibri"/>
        </w:rPr>
        <w:t xml:space="preserve"> </w:t>
      </w:r>
      <w:hyperlink r:id="rId14" w:tgtFrame="_blank" w:history="1">
        <w:r w:rsidRPr="00370122">
          <w:rPr>
            <w:rStyle w:val="Hyperlink"/>
          </w:rPr>
          <w:t>hjts@cbccro-mne.org</w:t>
        </w:r>
      </w:hyperlink>
    </w:p>
    <w:sectPr w:rsidR="00370122" w:rsidRPr="001B6405" w:rsidSect="0040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EA" w:rsidRDefault="00855CEA" w:rsidP="000465EF">
      <w:r>
        <w:separator/>
      </w:r>
    </w:p>
  </w:endnote>
  <w:endnote w:type="continuationSeparator" w:id="0">
    <w:p w:rsidR="00855CEA" w:rsidRDefault="00855CEA" w:rsidP="0004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EA" w:rsidRDefault="00855CEA" w:rsidP="000465EF">
      <w:r>
        <w:separator/>
      </w:r>
    </w:p>
  </w:footnote>
  <w:footnote w:type="continuationSeparator" w:id="0">
    <w:p w:rsidR="00855CEA" w:rsidRDefault="00855CEA" w:rsidP="0004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6C6"/>
    <w:multiLevelType w:val="multilevel"/>
    <w:tmpl w:val="4434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A42233"/>
    <w:multiLevelType w:val="hybridMultilevel"/>
    <w:tmpl w:val="4DFE6EA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42B7"/>
    <w:multiLevelType w:val="hybridMultilevel"/>
    <w:tmpl w:val="515EF74C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51D0F"/>
    <w:multiLevelType w:val="hybridMultilevel"/>
    <w:tmpl w:val="92543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6640F"/>
    <w:multiLevelType w:val="multilevel"/>
    <w:tmpl w:val="B164D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00E112B"/>
    <w:multiLevelType w:val="hybridMultilevel"/>
    <w:tmpl w:val="AD46CCC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A4153E"/>
    <w:multiLevelType w:val="multilevel"/>
    <w:tmpl w:val="1D360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2F7211E"/>
    <w:multiLevelType w:val="multilevel"/>
    <w:tmpl w:val="48AC5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6757032"/>
    <w:multiLevelType w:val="multilevel"/>
    <w:tmpl w:val="980217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7434319"/>
    <w:multiLevelType w:val="hybridMultilevel"/>
    <w:tmpl w:val="B1D6DC00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7D9B7EFC"/>
    <w:multiLevelType w:val="multilevel"/>
    <w:tmpl w:val="A664F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EF"/>
    <w:rsid w:val="000465EF"/>
    <w:rsid w:val="00064D03"/>
    <w:rsid w:val="00080B66"/>
    <w:rsid w:val="000D2AA9"/>
    <w:rsid w:val="000D3696"/>
    <w:rsid w:val="000D37E7"/>
    <w:rsid w:val="000D4AAD"/>
    <w:rsid w:val="000D5702"/>
    <w:rsid w:val="000F3DD2"/>
    <w:rsid w:val="00103147"/>
    <w:rsid w:val="001556FB"/>
    <w:rsid w:val="001708A6"/>
    <w:rsid w:val="0018481E"/>
    <w:rsid w:val="001B6405"/>
    <w:rsid w:val="001C5C42"/>
    <w:rsid w:val="001E48E2"/>
    <w:rsid w:val="001F4947"/>
    <w:rsid w:val="00267D2B"/>
    <w:rsid w:val="0027057D"/>
    <w:rsid w:val="002B71F8"/>
    <w:rsid w:val="002C2D35"/>
    <w:rsid w:val="002E1CCA"/>
    <w:rsid w:val="003350A3"/>
    <w:rsid w:val="00370122"/>
    <w:rsid w:val="003A03CE"/>
    <w:rsid w:val="003E49B2"/>
    <w:rsid w:val="00401A10"/>
    <w:rsid w:val="00404B51"/>
    <w:rsid w:val="004340CA"/>
    <w:rsid w:val="0048202A"/>
    <w:rsid w:val="0049172D"/>
    <w:rsid w:val="004A4BE1"/>
    <w:rsid w:val="004C084E"/>
    <w:rsid w:val="004D61EF"/>
    <w:rsid w:val="004F100F"/>
    <w:rsid w:val="00514445"/>
    <w:rsid w:val="00561B99"/>
    <w:rsid w:val="0057128A"/>
    <w:rsid w:val="00575790"/>
    <w:rsid w:val="005A42BA"/>
    <w:rsid w:val="005C060E"/>
    <w:rsid w:val="005C5734"/>
    <w:rsid w:val="005F797A"/>
    <w:rsid w:val="00606EB6"/>
    <w:rsid w:val="00611366"/>
    <w:rsid w:val="006330FB"/>
    <w:rsid w:val="00640C87"/>
    <w:rsid w:val="00670A22"/>
    <w:rsid w:val="00673D70"/>
    <w:rsid w:val="0068418E"/>
    <w:rsid w:val="006B641B"/>
    <w:rsid w:val="006B6EAC"/>
    <w:rsid w:val="006E0B4B"/>
    <w:rsid w:val="00700B6A"/>
    <w:rsid w:val="00703A90"/>
    <w:rsid w:val="00752791"/>
    <w:rsid w:val="00760E95"/>
    <w:rsid w:val="00775CD5"/>
    <w:rsid w:val="007A09C0"/>
    <w:rsid w:val="007A0B9E"/>
    <w:rsid w:val="007F12F8"/>
    <w:rsid w:val="008071CA"/>
    <w:rsid w:val="0081418D"/>
    <w:rsid w:val="00814E0E"/>
    <w:rsid w:val="00817EAB"/>
    <w:rsid w:val="00827294"/>
    <w:rsid w:val="00832AFC"/>
    <w:rsid w:val="00855CEA"/>
    <w:rsid w:val="008D257F"/>
    <w:rsid w:val="008D7B79"/>
    <w:rsid w:val="008F09B8"/>
    <w:rsid w:val="008F245B"/>
    <w:rsid w:val="008F5E09"/>
    <w:rsid w:val="008F6A60"/>
    <w:rsid w:val="009033A2"/>
    <w:rsid w:val="00922104"/>
    <w:rsid w:val="00941E1D"/>
    <w:rsid w:val="00963453"/>
    <w:rsid w:val="009B2203"/>
    <w:rsid w:val="009C5EAA"/>
    <w:rsid w:val="009C7181"/>
    <w:rsid w:val="009E434A"/>
    <w:rsid w:val="00A47F1D"/>
    <w:rsid w:val="00A85CAB"/>
    <w:rsid w:val="00A87FDD"/>
    <w:rsid w:val="00AD4A2B"/>
    <w:rsid w:val="00B001A6"/>
    <w:rsid w:val="00B0251B"/>
    <w:rsid w:val="00B3177E"/>
    <w:rsid w:val="00B47FC2"/>
    <w:rsid w:val="00B74758"/>
    <w:rsid w:val="00BA6642"/>
    <w:rsid w:val="00BB7065"/>
    <w:rsid w:val="00BC226C"/>
    <w:rsid w:val="00BE1B54"/>
    <w:rsid w:val="00BF55A3"/>
    <w:rsid w:val="00C02E54"/>
    <w:rsid w:val="00C725EC"/>
    <w:rsid w:val="00C76BB1"/>
    <w:rsid w:val="00C90442"/>
    <w:rsid w:val="00D05E7E"/>
    <w:rsid w:val="00D1684A"/>
    <w:rsid w:val="00D17F61"/>
    <w:rsid w:val="00D86D36"/>
    <w:rsid w:val="00DB5053"/>
    <w:rsid w:val="00DB5D02"/>
    <w:rsid w:val="00E93B9B"/>
    <w:rsid w:val="00ED2CF2"/>
    <w:rsid w:val="00F30008"/>
    <w:rsid w:val="00F357C9"/>
    <w:rsid w:val="00F45000"/>
    <w:rsid w:val="00F6656A"/>
    <w:rsid w:val="00FC0BFA"/>
    <w:rsid w:val="00FD3AEA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9B4B13-F952-4506-8CF7-63B1F4F9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5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9"/>
    <w:qFormat/>
    <w:locked/>
    <w:rsid w:val="008F09B8"/>
    <w:pPr>
      <w:numPr>
        <w:numId w:val="9"/>
      </w:numPr>
      <w:spacing w:before="240" w:after="240"/>
      <w:jc w:val="both"/>
      <w:outlineLvl w:val="0"/>
    </w:pPr>
    <w:rPr>
      <w:rFonts w:eastAsia="Calibri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0465EF"/>
    <w:pPr>
      <w:spacing w:after="150" w:line="330" w:lineRule="atLeast"/>
      <w:outlineLvl w:val="1"/>
    </w:pPr>
    <w:rPr>
      <w:b/>
      <w:bCs/>
      <w:color w:val="292929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F09B8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F09B8"/>
    <w:pPr>
      <w:keepNext/>
      <w:numPr>
        <w:ilvl w:val="3"/>
        <w:numId w:val="9"/>
      </w:numPr>
      <w:spacing w:before="240" w:after="60"/>
      <w:jc w:val="both"/>
      <w:outlineLvl w:val="3"/>
    </w:pPr>
    <w:rPr>
      <w:rFonts w:eastAsia="Calibr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F09B8"/>
    <w:pPr>
      <w:numPr>
        <w:ilvl w:val="4"/>
        <w:numId w:val="9"/>
      </w:numPr>
      <w:spacing w:before="240" w:after="60"/>
      <w:jc w:val="both"/>
      <w:outlineLvl w:val="4"/>
    </w:pPr>
    <w:rPr>
      <w:rFonts w:eastAsia="Calibr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F09B8"/>
    <w:pPr>
      <w:numPr>
        <w:ilvl w:val="5"/>
        <w:numId w:val="9"/>
      </w:numPr>
      <w:spacing w:before="240" w:after="60"/>
      <w:jc w:val="both"/>
      <w:outlineLvl w:val="5"/>
    </w:pPr>
    <w:rPr>
      <w:rFonts w:eastAsia="Calibr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F09B8"/>
    <w:pPr>
      <w:numPr>
        <w:ilvl w:val="6"/>
        <w:numId w:val="9"/>
      </w:numPr>
      <w:spacing w:before="240" w:after="60"/>
      <w:jc w:val="both"/>
      <w:outlineLvl w:val="6"/>
    </w:pPr>
    <w:rPr>
      <w:rFonts w:eastAsia="Calibri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F09B8"/>
    <w:pPr>
      <w:numPr>
        <w:ilvl w:val="7"/>
        <w:numId w:val="9"/>
      </w:numPr>
      <w:spacing w:before="240" w:after="60"/>
      <w:jc w:val="both"/>
      <w:outlineLvl w:val="7"/>
    </w:pPr>
    <w:rPr>
      <w:rFonts w:eastAsia="Calibr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F09B8"/>
    <w:pPr>
      <w:numPr>
        <w:ilvl w:val="8"/>
        <w:numId w:val="9"/>
      </w:numPr>
      <w:spacing w:before="240" w:after="60"/>
      <w:jc w:val="both"/>
      <w:outlineLvl w:val="8"/>
    </w:pPr>
    <w:rPr>
      <w:rFonts w:ascii="Arial" w:eastAsia="Calibri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65EF"/>
    <w:rPr>
      <w:rFonts w:ascii="Times New Roman" w:hAnsi="Times New Roman" w:cs="Times New Roman"/>
      <w:b/>
      <w:bCs/>
      <w:color w:val="292929"/>
      <w:sz w:val="27"/>
      <w:szCs w:val="27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0F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DD2"/>
    <w:rPr>
      <w:rFonts w:ascii="Tahoma" w:hAnsi="Tahoma" w:cs="Tahoma"/>
      <w:sz w:val="16"/>
      <w:szCs w:val="16"/>
      <w:lang w:eastAsia="hr-HR"/>
    </w:rPr>
  </w:style>
  <w:style w:type="paragraph" w:customStyle="1" w:styleId="CharChar2CharCharCharCharCharCharCharChar">
    <w:name w:val="Char Char2 Char Char Char Char Char Char Char Char"/>
    <w:basedOn w:val="Normal"/>
    <w:uiPriority w:val="99"/>
    <w:rsid w:val="000465E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465E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465EF"/>
    <w:rPr>
      <w:b/>
      <w:bCs/>
    </w:rPr>
  </w:style>
  <w:style w:type="paragraph" w:styleId="NormalWeb">
    <w:name w:val="Normal (Web)"/>
    <w:basedOn w:val="Normal"/>
    <w:uiPriority w:val="99"/>
    <w:rsid w:val="000465EF"/>
    <w:pPr>
      <w:spacing w:before="100" w:beforeAutospacing="1" w:after="100" w:afterAutospacing="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465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65EF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0465EF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0465EF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465EF"/>
  </w:style>
  <w:style w:type="character" w:styleId="CommentReference">
    <w:name w:val="annotation reference"/>
    <w:basedOn w:val="DefaultParagraphFont"/>
    <w:uiPriority w:val="99"/>
    <w:semiHidden/>
    <w:unhideWhenUsed/>
    <w:locked/>
    <w:rsid w:val="009E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E4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34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E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34A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0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locked/>
    <w:rsid w:val="00A47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@cbccro-m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@cbccro-mn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a.anicic@mrrfeu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rfeu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ccro-mne.org" TargetMode="External"/><Relationship Id="rId14" Type="http://schemas.openxmlformats.org/officeDocument/2006/relationships/hyperlink" Target="mailto:hjts@cbccro-m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39EC-3581-4352-930A-8F0D1FD6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PREKOGRANIČNE SURADNJE HRVATSKA –CRNA GORA U OKVIRU KOMPONENTE PREKOGRANIČNA SURADNJA PROGRAMA IPA</vt:lpstr>
    </vt:vector>
  </TitlesOfParts>
  <Company>mrrsvg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PREKOGRANIČNE SURADNJE HRVATSKA –CRNA GORA U OKVIRU KOMPONENTE PREKOGRANIČNA SURADNJA PROGRAMA IPA</dc:title>
  <dc:creator>Snježana Vlahinić</dc:creator>
  <cp:lastModifiedBy>Danijela Gjuras</cp:lastModifiedBy>
  <cp:revision>4</cp:revision>
  <dcterms:created xsi:type="dcterms:W3CDTF">2015-05-05T14:02:00Z</dcterms:created>
  <dcterms:modified xsi:type="dcterms:W3CDTF">2015-07-06T10:52:00Z</dcterms:modified>
</cp:coreProperties>
</file>